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40E35" w:rsidRDefault="00F40E35">
      <w:pPr>
        <w:pStyle w:val="Normal1"/>
        <w:spacing w:after="0" w:line="240" w:lineRule="auto"/>
      </w:pPr>
      <w:bookmarkStart w:id="0" w:name="h.k43kmedbeenw" w:colFirst="0" w:colLast="0"/>
      <w:bookmarkEnd w:id="0"/>
    </w:p>
    <w:p w:rsidR="007D69D6" w:rsidRDefault="007D69D6">
      <w:pPr>
        <w:pStyle w:val="Normal1"/>
        <w:spacing w:after="0" w:line="240" w:lineRule="auto"/>
        <w:rPr>
          <w:b/>
        </w:rPr>
      </w:pPr>
      <w:r w:rsidRPr="007D69D6">
        <w:rPr>
          <w:b/>
        </w:rPr>
        <w:t>Milestone Outline and Payment Plan</w:t>
      </w:r>
    </w:p>
    <w:p w:rsidR="00845B2A" w:rsidRDefault="00845B2A">
      <w:pPr>
        <w:pStyle w:val="Normal1"/>
        <w:spacing w:after="0" w:line="240" w:lineRule="auto"/>
        <w:rPr>
          <w:b/>
        </w:rPr>
      </w:pPr>
    </w:p>
    <w:p w:rsidR="00845B2A" w:rsidRDefault="00845B2A" w:rsidP="00C93FBD">
      <w:pPr>
        <w:pStyle w:val="Normal1"/>
        <w:spacing w:after="0" w:line="240" w:lineRule="auto"/>
        <w:jc w:val="both"/>
      </w:pPr>
      <w:r>
        <w:t xml:space="preserve">TOSFA payments will be transferred in </w:t>
      </w:r>
      <w:r w:rsidR="00C93FBD">
        <w:t>two</w:t>
      </w:r>
      <w:r>
        <w:t xml:space="preserve"> tranches.  The initial tranche will be transferred following award and successful submission of all required documentation and details.  Th</w:t>
      </w:r>
      <w:r w:rsidRPr="00845B2A">
        <w:t>e</w:t>
      </w:r>
      <w:r>
        <w:t xml:space="preserve"> re</w:t>
      </w:r>
      <w:r w:rsidRPr="00845B2A">
        <w:t xml:space="preserve">maining funds will only be disbursed upon positive completion of milestones as described in the </w:t>
      </w:r>
      <w:r>
        <w:t xml:space="preserve">progress </w:t>
      </w:r>
      <w:r w:rsidR="00C93FBD">
        <w:t>report due on</w:t>
      </w:r>
      <w:r>
        <w:t xml:space="preserve"> </w:t>
      </w:r>
      <w:r w:rsidR="003F2B5F" w:rsidRPr="003F2B5F">
        <w:t xml:space="preserve">Monday </w:t>
      </w:r>
      <w:r w:rsidR="0097072B">
        <w:t>1</w:t>
      </w:r>
      <w:r w:rsidR="0097072B" w:rsidRPr="0097072B">
        <w:rPr>
          <w:vertAlign w:val="superscript"/>
        </w:rPr>
        <w:t>st</w:t>
      </w:r>
      <w:r w:rsidR="0097072B">
        <w:t xml:space="preserve"> November 2021</w:t>
      </w:r>
      <w:r w:rsidR="00675BB8" w:rsidRPr="003F2B5F">
        <w:t>.</w:t>
      </w:r>
    </w:p>
    <w:p w:rsidR="00845B2A" w:rsidRDefault="00845B2A" w:rsidP="00845B2A">
      <w:pPr>
        <w:pStyle w:val="Normal1"/>
        <w:spacing w:after="0" w:line="240" w:lineRule="auto"/>
        <w:jc w:val="both"/>
      </w:pPr>
    </w:p>
    <w:p w:rsidR="00845B2A" w:rsidRDefault="00845B2A" w:rsidP="00845B2A">
      <w:pPr>
        <w:pStyle w:val="Normal1"/>
        <w:spacing w:after="0" w:line="240" w:lineRule="auto"/>
        <w:jc w:val="both"/>
      </w:pPr>
      <w:r>
        <w:t>Beneficiaries are to indicate their milesto</w:t>
      </w:r>
      <w:r w:rsidR="00C93FBD">
        <w:t>nes alongside the funds required.  They must also indicate whether these are to be transferred in the initial tranche or following the November report</w:t>
      </w:r>
      <w:r>
        <w:t xml:space="preserve">.  Funds will only be transferred once </w:t>
      </w:r>
      <w:r w:rsidR="00C93FBD">
        <w:t xml:space="preserve">the </w:t>
      </w:r>
      <w:r>
        <w:t>report submitted are approved by the Management Committee.</w:t>
      </w:r>
      <w:r w:rsidR="00AA57BE">
        <w:t xml:space="preserve">  </w:t>
      </w:r>
    </w:p>
    <w:p w:rsidR="00845B2A" w:rsidRDefault="00845B2A" w:rsidP="00845B2A">
      <w:pPr>
        <w:pStyle w:val="Normal1"/>
        <w:spacing w:after="0" w:line="240" w:lineRule="auto"/>
        <w:jc w:val="both"/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3"/>
        <w:gridCol w:w="6995"/>
      </w:tblGrid>
      <w:tr w:rsidR="00845B2A" w:rsidRPr="00845B2A" w:rsidTr="00845B2A">
        <w:trPr>
          <w:trHeight w:val="280"/>
        </w:trPr>
        <w:tc>
          <w:tcPr>
            <w:tcW w:w="2503" w:type="dxa"/>
            <w:vAlign w:val="center"/>
          </w:tcPr>
          <w:p w:rsidR="00845B2A" w:rsidRPr="00845B2A" w:rsidRDefault="00845B2A" w:rsidP="00845B2A">
            <w:pPr>
              <w:spacing w:after="0" w:line="240" w:lineRule="auto"/>
              <w:rPr>
                <w:lang w:val="en-GB"/>
              </w:rPr>
            </w:pPr>
            <w:r w:rsidRPr="00845B2A">
              <w:rPr>
                <w:b/>
                <w:sz w:val="20"/>
                <w:lang w:val="en-GB"/>
              </w:rPr>
              <w:t>Name of Lead Beneficiary:</w:t>
            </w:r>
          </w:p>
        </w:tc>
        <w:tc>
          <w:tcPr>
            <w:tcW w:w="6995" w:type="dxa"/>
            <w:vAlign w:val="center"/>
          </w:tcPr>
          <w:p w:rsidR="00845B2A" w:rsidRPr="00845B2A" w:rsidRDefault="00845B2A" w:rsidP="00845B2A">
            <w:pPr>
              <w:spacing w:after="0" w:line="240" w:lineRule="auto"/>
              <w:rPr>
                <w:lang w:val="en-GB"/>
              </w:rPr>
            </w:pPr>
          </w:p>
        </w:tc>
      </w:tr>
      <w:tr w:rsidR="00845B2A" w:rsidRPr="00845B2A" w:rsidTr="00845B2A">
        <w:trPr>
          <w:trHeight w:val="280"/>
        </w:trPr>
        <w:tc>
          <w:tcPr>
            <w:tcW w:w="2503" w:type="dxa"/>
            <w:vAlign w:val="center"/>
          </w:tcPr>
          <w:p w:rsidR="00845B2A" w:rsidRPr="00845B2A" w:rsidRDefault="00845B2A" w:rsidP="00845B2A">
            <w:pPr>
              <w:spacing w:after="0" w:line="240" w:lineRule="auto"/>
              <w:rPr>
                <w:lang w:val="en-GB"/>
              </w:rPr>
            </w:pPr>
            <w:r w:rsidRPr="00845B2A">
              <w:rPr>
                <w:b/>
                <w:sz w:val="20"/>
                <w:lang w:val="en-GB"/>
              </w:rPr>
              <w:t>Name of Project/Venture:</w:t>
            </w:r>
          </w:p>
        </w:tc>
        <w:tc>
          <w:tcPr>
            <w:tcW w:w="6995" w:type="dxa"/>
            <w:vAlign w:val="center"/>
          </w:tcPr>
          <w:p w:rsidR="00845B2A" w:rsidRPr="00845B2A" w:rsidRDefault="00845B2A" w:rsidP="00845B2A">
            <w:pPr>
              <w:spacing w:after="0" w:line="240" w:lineRule="auto"/>
              <w:rPr>
                <w:lang w:val="en-GB"/>
              </w:rPr>
            </w:pPr>
          </w:p>
        </w:tc>
      </w:tr>
    </w:tbl>
    <w:p w:rsidR="00845B2A" w:rsidRDefault="00845B2A" w:rsidP="00845B2A">
      <w:pPr>
        <w:pStyle w:val="Normal1"/>
        <w:spacing w:after="0" w:line="240" w:lineRule="auto"/>
        <w:jc w:val="both"/>
      </w:pPr>
    </w:p>
    <w:tbl>
      <w:tblPr>
        <w:tblStyle w:val="TableGrid"/>
        <w:tblW w:w="9447" w:type="dxa"/>
        <w:tblLook w:val="04A0" w:firstRow="1" w:lastRow="0" w:firstColumn="1" w:lastColumn="0" w:noHBand="0" w:noVBand="1"/>
      </w:tblPr>
      <w:tblGrid>
        <w:gridCol w:w="3148"/>
        <w:gridCol w:w="3148"/>
        <w:gridCol w:w="3151"/>
      </w:tblGrid>
      <w:tr w:rsidR="00845B2A" w:rsidTr="00845B2A">
        <w:trPr>
          <w:trHeight w:val="276"/>
        </w:trPr>
        <w:tc>
          <w:tcPr>
            <w:tcW w:w="3148" w:type="dxa"/>
          </w:tcPr>
          <w:p w:rsidR="00845B2A" w:rsidRPr="00845B2A" w:rsidRDefault="00845B2A" w:rsidP="00845B2A">
            <w:pPr>
              <w:pStyle w:val="Normal1"/>
              <w:jc w:val="center"/>
              <w:rPr>
                <w:b/>
              </w:rPr>
            </w:pPr>
            <w:r w:rsidRPr="00845B2A">
              <w:rPr>
                <w:b/>
              </w:rPr>
              <w:t>Milestone</w:t>
            </w:r>
          </w:p>
        </w:tc>
        <w:tc>
          <w:tcPr>
            <w:tcW w:w="3148" w:type="dxa"/>
          </w:tcPr>
          <w:p w:rsidR="00845B2A" w:rsidRPr="00845B2A" w:rsidRDefault="00845B2A" w:rsidP="00845B2A">
            <w:pPr>
              <w:pStyle w:val="Normal1"/>
              <w:jc w:val="center"/>
              <w:rPr>
                <w:b/>
              </w:rPr>
            </w:pPr>
            <w:r w:rsidRPr="00845B2A">
              <w:rPr>
                <w:b/>
              </w:rPr>
              <w:t>Amount Required</w:t>
            </w:r>
          </w:p>
        </w:tc>
        <w:tc>
          <w:tcPr>
            <w:tcW w:w="3151" w:type="dxa"/>
          </w:tcPr>
          <w:p w:rsidR="00845B2A" w:rsidRPr="00845B2A" w:rsidRDefault="00CE5066" w:rsidP="00845B2A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Tranche</w:t>
            </w:r>
          </w:p>
        </w:tc>
      </w:tr>
      <w:tr w:rsidR="00845B2A" w:rsidTr="00845B2A">
        <w:trPr>
          <w:trHeight w:val="261"/>
        </w:trPr>
        <w:tc>
          <w:tcPr>
            <w:tcW w:w="3148" w:type="dxa"/>
          </w:tcPr>
          <w:p w:rsidR="00845B2A" w:rsidRDefault="00845B2A" w:rsidP="00845B2A">
            <w:pPr>
              <w:pStyle w:val="Normal1"/>
              <w:jc w:val="both"/>
            </w:pPr>
          </w:p>
        </w:tc>
        <w:tc>
          <w:tcPr>
            <w:tcW w:w="3148" w:type="dxa"/>
          </w:tcPr>
          <w:p w:rsidR="00845B2A" w:rsidRDefault="00845B2A" w:rsidP="00845B2A">
            <w:pPr>
              <w:pStyle w:val="Normal1"/>
              <w:jc w:val="both"/>
            </w:pPr>
          </w:p>
        </w:tc>
        <w:tc>
          <w:tcPr>
            <w:tcW w:w="3151" w:type="dxa"/>
          </w:tcPr>
          <w:p w:rsidR="00845B2A" w:rsidRDefault="00845B2A" w:rsidP="00845B2A">
            <w:pPr>
              <w:pStyle w:val="Normal1"/>
              <w:jc w:val="both"/>
            </w:pPr>
          </w:p>
        </w:tc>
      </w:tr>
      <w:tr w:rsidR="00845B2A" w:rsidTr="00845B2A">
        <w:trPr>
          <w:trHeight w:val="276"/>
        </w:trPr>
        <w:tc>
          <w:tcPr>
            <w:tcW w:w="3148" w:type="dxa"/>
          </w:tcPr>
          <w:p w:rsidR="00845B2A" w:rsidRDefault="00845B2A" w:rsidP="00845B2A">
            <w:pPr>
              <w:pStyle w:val="Normal1"/>
              <w:jc w:val="both"/>
            </w:pPr>
          </w:p>
        </w:tc>
        <w:tc>
          <w:tcPr>
            <w:tcW w:w="3148" w:type="dxa"/>
          </w:tcPr>
          <w:p w:rsidR="00845B2A" w:rsidRDefault="00845B2A" w:rsidP="00845B2A">
            <w:pPr>
              <w:pStyle w:val="Normal1"/>
              <w:jc w:val="both"/>
            </w:pPr>
          </w:p>
        </w:tc>
        <w:tc>
          <w:tcPr>
            <w:tcW w:w="3151" w:type="dxa"/>
          </w:tcPr>
          <w:p w:rsidR="00845B2A" w:rsidRDefault="00845B2A" w:rsidP="00845B2A">
            <w:pPr>
              <w:pStyle w:val="Normal1"/>
              <w:jc w:val="both"/>
            </w:pPr>
          </w:p>
        </w:tc>
      </w:tr>
      <w:tr w:rsidR="00845B2A" w:rsidTr="00845B2A">
        <w:trPr>
          <w:trHeight w:val="261"/>
        </w:trPr>
        <w:tc>
          <w:tcPr>
            <w:tcW w:w="3148" w:type="dxa"/>
          </w:tcPr>
          <w:p w:rsidR="00845B2A" w:rsidRDefault="00845B2A" w:rsidP="00845B2A">
            <w:pPr>
              <w:pStyle w:val="Normal1"/>
              <w:jc w:val="both"/>
            </w:pPr>
          </w:p>
        </w:tc>
        <w:tc>
          <w:tcPr>
            <w:tcW w:w="3148" w:type="dxa"/>
          </w:tcPr>
          <w:p w:rsidR="00845B2A" w:rsidRDefault="00845B2A" w:rsidP="00845B2A">
            <w:pPr>
              <w:pStyle w:val="Normal1"/>
              <w:jc w:val="both"/>
            </w:pPr>
          </w:p>
        </w:tc>
        <w:tc>
          <w:tcPr>
            <w:tcW w:w="3151" w:type="dxa"/>
          </w:tcPr>
          <w:p w:rsidR="00845B2A" w:rsidRDefault="00845B2A" w:rsidP="00845B2A">
            <w:pPr>
              <w:pStyle w:val="Normal1"/>
              <w:jc w:val="both"/>
            </w:pPr>
          </w:p>
        </w:tc>
      </w:tr>
      <w:tr w:rsidR="00845B2A" w:rsidTr="00845B2A">
        <w:trPr>
          <w:trHeight w:val="276"/>
        </w:trPr>
        <w:tc>
          <w:tcPr>
            <w:tcW w:w="3148" w:type="dxa"/>
          </w:tcPr>
          <w:p w:rsidR="00845B2A" w:rsidRDefault="00845B2A" w:rsidP="00845B2A">
            <w:pPr>
              <w:pStyle w:val="Normal1"/>
              <w:ind w:left="-113"/>
              <w:jc w:val="both"/>
            </w:pPr>
          </w:p>
        </w:tc>
        <w:tc>
          <w:tcPr>
            <w:tcW w:w="3148" w:type="dxa"/>
          </w:tcPr>
          <w:p w:rsidR="00845B2A" w:rsidRDefault="00845B2A" w:rsidP="00845B2A">
            <w:pPr>
              <w:pStyle w:val="Normal1"/>
              <w:jc w:val="both"/>
            </w:pPr>
          </w:p>
        </w:tc>
        <w:tc>
          <w:tcPr>
            <w:tcW w:w="3151" w:type="dxa"/>
          </w:tcPr>
          <w:p w:rsidR="00845B2A" w:rsidRDefault="00845B2A" w:rsidP="00845B2A">
            <w:pPr>
              <w:pStyle w:val="Normal1"/>
              <w:jc w:val="both"/>
            </w:pPr>
          </w:p>
        </w:tc>
      </w:tr>
      <w:tr w:rsidR="00845B2A" w:rsidTr="00845B2A">
        <w:trPr>
          <w:trHeight w:val="261"/>
        </w:trPr>
        <w:tc>
          <w:tcPr>
            <w:tcW w:w="3148" w:type="dxa"/>
          </w:tcPr>
          <w:p w:rsidR="00845B2A" w:rsidRDefault="00845B2A" w:rsidP="00845B2A">
            <w:pPr>
              <w:pStyle w:val="Normal1"/>
              <w:jc w:val="both"/>
            </w:pPr>
          </w:p>
        </w:tc>
        <w:tc>
          <w:tcPr>
            <w:tcW w:w="3148" w:type="dxa"/>
          </w:tcPr>
          <w:p w:rsidR="00845B2A" w:rsidRDefault="00845B2A" w:rsidP="00845B2A">
            <w:pPr>
              <w:pStyle w:val="Normal1"/>
              <w:jc w:val="both"/>
            </w:pPr>
          </w:p>
        </w:tc>
        <w:tc>
          <w:tcPr>
            <w:tcW w:w="3151" w:type="dxa"/>
          </w:tcPr>
          <w:p w:rsidR="00845B2A" w:rsidRDefault="00845B2A" w:rsidP="00845B2A">
            <w:pPr>
              <w:pStyle w:val="Normal1"/>
              <w:jc w:val="both"/>
            </w:pPr>
          </w:p>
        </w:tc>
      </w:tr>
      <w:tr w:rsidR="00845B2A" w:rsidTr="00845B2A">
        <w:trPr>
          <w:trHeight w:val="276"/>
        </w:trPr>
        <w:tc>
          <w:tcPr>
            <w:tcW w:w="3148" w:type="dxa"/>
          </w:tcPr>
          <w:p w:rsidR="00845B2A" w:rsidRDefault="00845B2A" w:rsidP="00845B2A">
            <w:pPr>
              <w:pStyle w:val="Normal1"/>
              <w:jc w:val="both"/>
            </w:pPr>
          </w:p>
        </w:tc>
        <w:tc>
          <w:tcPr>
            <w:tcW w:w="3148" w:type="dxa"/>
          </w:tcPr>
          <w:p w:rsidR="00845B2A" w:rsidRDefault="00845B2A" w:rsidP="00845B2A">
            <w:pPr>
              <w:pStyle w:val="Normal1"/>
              <w:jc w:val="both"/>
            </w:pPr>
          </w:p>
        </w:tc>
        <w:tc>
          <w:tcPr>
            <w:tcW w:w="3151" w:type="dxa"/>
          </w:tcPr>
          <w:p w:rsidR="00845B2A" w:rsidRDefault="00845B2A" w:rsidP="00845B2A">
            <w:pPr>
              <w:pStyle w:val="Normal1"/>
              <w:jc w:val="both"/>
            </w:pPr>
          </w:p>
        </w:tc>
      </w:tr>
      <w:tr w:rsidR="00845B2A" w:rsidTr="00845B2A">
        <w:trPr>
          <w:trHeight w:val="261"/>
        </w:trPr>
        <w:tc>
          <w:tcPr>
            <w:tcW w:w="3148" w:type="dxa"/>
          </w:tcPr>
          <w:p w:rsidR="00845B2A" w:rsidRPr="00845B2A" w:rsidRDefault="00845B2A" w:rsidP="00845B2A">
            <w:pPr>
              <w:pStyle w:val="Normal1"/>
              <w:jc w:val="both"/>
              <w:rPr>
                <w:i/>
                <w:color w:val="808080" w:themeColor="background1" w:themeShade="80"/>
              </w:rPr>
            </w:pPr>
            <w:r w:rsidRPr="00845B2A">
              <w:rPr>
                <w:i/>
                <w:color w:val="808080" w:themeColor="background1" w:themeShade="80"/>
              </w:rPr>
              <w:t>Add rows as necessary</w:t>
            </w:r>
          </w:p>
        </w:tc>
        <w:tc>
          <w:tcPr>
            <w:tcW w:w="3148" w:type="dxa"/>
          </w:tcPr>
          <w:p w:rsidR="00845B2A" w:rsidRDefault="00845B2A" w:rsidP="00845B2A">
            <w:pPr>
              <w:pStyle w:val="Normal1"/>
              <w:jc w:val="both"/>
            </w:pPr>
          </w:p>
        </w:tc>
        <w:tc>
          <w:tcPr>
            <w:tcW w:w="3151" w:type="dxa"/>
          </w:tcPr>
          <w:p w:rsidR="00845B2A" w:rsidRDefault="00845B2A" w:rsidP="00845B2A">
            <w:pPr>
              <w:pStyle w:val="Normal1"/>
              <w:jc w:val="both"/>
            </w:pPr>
          </w:p>
        </w:tc>
      </w:tr>
    </w:tbl>
    <w:p w:rsidR="00845B2A" w:rsidRPr="00845B2A" w:rsidRDefault="00845B2A" w:rsidP="00845B2A">
      <w:pPr>
        <w:pStyle w:val="Normal1"/>
        <w:spacing w:after="0" w:line="240" w:lineRule="auto"/>
        <w:jc w:val="both"/>
      </w:pPr>
    </w:p>
    <w:sectPr w:rsidR="00845B2A" w:rsidRPr="00845B2A" w:rsidSect="00F40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417" w:rsidRDefault="00750417" w:rsidP="00F40E35">
      <w:pPr>
        <w:spacing w:after="0" w:line="240" w:lineRule="auto"/>
      </w:pPr>
      <w:r>
        <w:separator/>
      </w:r>
    </w:p>
  </w:endnote>
  <w:endnote w:type="continuationSeparator" w:id="0">
    <w:p w:rsidR="00750417" w:rsidRDefault="00750417" w:rsidP="00F4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6DD" w:rsidRDefault="009F56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6026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bookmarkStart w:id="1" w:name="_GoBack" w:displacedByCustomXml="prev"/>
          <w:p w:rsidR="00515229" w:rsidRDefault="009F56DD" w:rsidP="00515229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4279265</wp:posOffset>
                  </wp:positionH>
                  <wp:positionV relativeFrom="paragraph">
                    <wp:posOffset>-111760</wp:posOffset>
                  </wp:positionV>
                  <wp:extent cx="1802258" cy="843915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I-ENG logo 202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258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1"/>
            <w:r w:rsidR="0051522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44CF5D4" wp14:editId="377F98AA">
                  <wp:simplePos x="0" y="0"/>
                  <wp:positionH relativeFrom="column">
                    <wp:posOffset>-361950</wp:posOffset>
                  </wp:positionH>
                  <wp:positionV relativeFrom="paragraph">
                    <wp:posOffset>-226060</wp:posOffset>
                  </wp:positionV>
                  <wp:extent cx="1999615" cy="97536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61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15229">
              <w:t xml:space="preserve">Page </w:t>
            </w:r>
            <w:r w:rsidR="00515229">
              <w:rPr>
                <w:b/>
                <w:bCs/>
                <w:sz w:val="24"/>
                <w:szCs w:val="24"/>
              </w:rPr>
              <w:fldChar w:fldCharType="begin"/>
            </w:r>
            <w:r w:rsidR="00515229">
              <w:rPr>
                <w:b/>
                <w:bCs/>
              </w:rPr>
              <w:instrText xml:space="preserve"> PAGE </w:instrText>
            </w:r>
            <w:r w:rsidR="00515229">
              <w:rPr>
                <w:b/>
                <w:bCs/>
                <w:sz w:val="24"/>
                <w:szCs w:val="24"/>
              </w:rPr>
              <w:fldChar w:fldCharType="separate"/>
            </w:r>
            <w:r w:rsidR="00A62AB9">
              <w:rPr>
                <w:b/>
                <w:bCs/>
                <w:noProof/>
              </w:rPr>
              <w:t>1</w:t>
            </w:r>
            <w:r w:rsidR="00515229">
              <w:rPr>
                <w:b/>
                <w:bCs/>
                <w:sz w:val="24"/>
                <w:szCs w:val="24"/>
              </w:rPr>
              <w:fldChar w:fldCharType="end"/>
            </w:r>
            <w:r w:rsidR="00515229">
              <w:t xml:space="preserve"> of </w:t>
            </w:r>
            <w:r w:rsidR="00515229">
              <w:rPr>
                <w:b/>
                <w:bCs/>
                <w:sz w:val="24"/>
                <w:szCs w:val="24"/>
              </w:rPr>
              <w:fldChar w:fldCharType="begin"/>
            </w:r>
            <w:r w:rsidR="00515229">
              <w:rPr>
                <w:b/>
                <w:bCs/>
              </w:rPr>
              <w:instrText xml:space="preserve"> NUMPAGES  </w:instrText>
            </w:r>
            <w:r w:rsidR="00515229">
              <w:rPr>
                <w:b/>
                <w:bCs/>
                <w:sz w:val="24"/>
                <w:szCs w:val="24"/>
              </w:rPr>
              <w:fldChar w:fldCharType="separate"/>
            </w:r>
            <w:r w:rsidR="00A62AB9">
              <w:rPr>
                <w:b/>
                <w:bCs/>
                <w:noProof/>
              </w:rPr>
              <w:t>1</w:t>
            </w:r>
            <w:r w:rsidR="005152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0E35" w:rsidRDefault="00F40E35">
    <w:pPr>
      <w:pStyle w:val="Normal1"/>
      <w:tabs>
        <w:tab w:val="center" w:pos="4513"/>
        <w:tab w:val="right" w:pos="9026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6DD" w:rsidRDefault="009F5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417" w:rsidRDefault="00750417" w:rsidP="00F40E35">
      <w:pPr>
        <w:spacing w:after="0" w:line="240" w:lineRule="auto"/>
      </w:pPr>
      <w:r>
        <w:separator/>
      </w:r>
    </w:p>
  </w:footnote>
  <w:footnote w:type="continuationSeparator" w:id="0">
    <w:p w:rsidR="00750417" w:rsidRDefault="00750417" w:rsidP="00F4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6DD" w:rsidRDefault="009F5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E35" w:rsidRDefault="002421CC">
    <w:pPr>
      <w:pStyle w:val="Normal1"/>
      <w:tabs>
        <w:tab w:val="center" w:pos="4513"/>
        <w:tab w:val="right" w:pos="9026"/>
      </w:tabs>
      <w:spacing w:after="0" w:line="240" w:lineRule="auto"/>
      <w:jc w:val="right"/>
    </w:pPr>
    <w:r>
      <w:rPr>
        <w:noProof/>
      </w:rPr>
      <w:drawing>
        <wp:inline distT="0" distB="0" distL="0" distR="0" wp14:anchorId="3C81D3C8">
          <wp:extent cx="2005965" cy="524510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6DD" w:rsidRDefault="009F5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601FB"/>
    <w:multiLevelType w:val="hybridMultilevel"/>
    <w:tmpl w:val="34D4F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37A"/>
    <w:multiLevelType w:val="multilevel"/>
    <w:tmpl w:val="FA6226BA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35"/>
    <w:rsid w:val="0007419A"/>
    <w:rsid w:val="001218CE"/>
    <w:rsid w:val="00213CF2"/>
    <w:rsid w:val="002421CC"/>
    <w:rsid w:val="002F1C94"/>
    <w:rsid w:val="003F2B5F"/>
    <w:rsid w:val="00425F5A"/>
    <w:rsid w:val="00515229"/>
    <w:rsid w:val="00675BB8"/>
    <w:rsid w:val="00750417"/>
    <w:rsid w:val="007D69D6"/>
    <w:rsid w:val="00845B2A"/>
    <w:rsid w:val="0097072B"/>
    <w:rsid w:val="009F56DD"/>
    <w:rsid w:val="00A62AB9"/>
    <w:rsid w:val="00AA57BE"/>
    <w:rsid w:val="00C93FBD"/>
    <w:rsid w:val="00CE5066"/>
    <w:rsid w:val="00D73DBB"/>
    <w:rsid w:val="00DB484A"/>
    <w:rsid w:val="00E31A54"/>
    <w:rsid w:val="00F4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5:docId w15:val="{0E1DA408-8EF4-466C-9299-A7C766E6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F40E3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F40E35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1"/>
    <w:next w:val="Normal1"/>
    <w:rsid w:val="00F40E35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</w:rPr>
  </w:style>
  <w:style w:type="paragraph" w:styleId="Heading4">
    <w:name w:val="heading 4"/>
    <w:basedOn w:val="Normal1"/>
    <w:next w:val="Normal1"/>
    <w:rsid w:val="00F40E3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F40E35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F40E3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40E35"/>
  </w:style>
  <w:style w:type="paragraph" w:styleId="Title">
    <w:name w:val="Title"/>
    <w:basedOn w:val="Normal1"/>
    <w:next w:val="Normal1"/>
    <w:rsid w:val="00F40E35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F40E3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40E35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0">
    <w:basedOn w:val="TableNormal"/>
    <w:rsid w:val="00F40E35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1">
    <w:basedOn w:val="TableNormal"/>
    <w:rsid w:val="00F40E35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40E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E35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0E3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D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3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CF2"/>
  </w:style>
  <w:style w:type="paragraph" w:styleId="Footer">
    <w:name w:val="footer"/>
    <w:basedOn w:val="Normal"/>
    <w:link w:val="FooterChar"/>
    <w:uiPriority w:val="99"/>
    <w:unhideWhenUsed/>
    <w:rsid w:val="00213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CF2"/>
  </w:style>
  <w:style w:type="table" w:styleId="TableGrid">
    <w:name w:val="Table Grid"/>
    <w:basedOn w:val="TableNormal"/>
    <w:uiPriority w:val="59"/>
    <w:rsid w:val="0084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D9B43-8D6D-4D36-A7A2-BFDD0ED7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C BORG COSTANZI</dc:creator>
  <cp:lastModifiedBy>NICOLA C BORG COSTANZI</cp:lastModifiedBy>
  <cp:revision>3</cp:revision>
  <cp:lastPrinted>2018-03-21T15:23:00Z</cp:lastPrinted>
  <dcterms:created xsi:type="dcterms:W3CDTF">2021-03-01T07:55:00Z</dcterms:created>
  <dcterms:modified xsi:type="dcterms:W3CDTF">2021-03-02T09:18:00Z</dcterms:modified>
</cp:coreProperties>
</file>